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Julissa García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Span 309</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Rafael Gomez</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February 20, 2015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“Central America within the US orbit”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rtl w:val="0"/>
        </w:rPr>
        <w:tab/>
        <w:t xml:space="preserve">El nombre del capítulo se traduce a “América Central dentro de la órbita de Estados Unidos” una metáfora que representa que los países de América Central  son planetas y los Estados Unidos es el sol y significa que América Central gira en torno a los Estado Unidos. En muchas ocasiones América Central ha usado a los Estados Unidos como un ejemplo para sus economías y sus gobiernos. Si los Estados Unidos obtuvieron a los países de América central se sentirán más seguros. </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rtl w:val="0"/>
        </w:rPr>
        <w:tab/>
        <w:t xml:space="preserve">Los Españoles invadieron América Central en etapas porque había diversidad entre las culturas nativas y cada vez tenían que imponer un gobierno nuevo. Siempre seguía la iglesia por detrás de las conquistas. Las estructuras sociales estaban dirigidas por dos partes, que eran; los burócratas nacidos en España y los otros nacidos localmente que tuvieran tierras, y hasta abajo estaban los esclavos africanos y los indios. </w:t>
      </w:r>
      <w:r w:rsidDel="00000000" w:rsidR="00000000" w:rsidRPr="00000000">
        <w:rPr>
          <w:rFonts w:ascii="Times New Roman" w:cs="Times New Roman" w:eastAsia="Times New Roman" w:hAnsi="Times New Roman"/>
          <w:rtl w:val="0"/>
        </w:rPr>
        <w:t xml:space="preserve"> El gobierno de América Central constituía de dos partidos políticos que eran Liberales y Conservativos. Los Liberales querían reducir los impuestos, deshacerse de la esclavitud, reducir el poder de la iglesia, y promocionar el desarrollo de la economía. Los Conservativos querían orden, moderación, y estabilidad y también apoyaban a la iglesia.</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rtl w:val="0"/>
        </w:rPr>
        <w:tab/>
        <w:t xml:space="preserve">Exploradores estaban interesados en países de América Central por su localización y vías marítimas que harían más fácil la transportación de productos importados y exportados. En 1914 el Canal de Panamá se convirtió en una importante vía fluvial internacional. Se llegó a pensar que Canal de Panamá sería un blanco para ataques terroristas como fueron las torres gemelas en el 2001. Varios exploradores también insistían en hacer un canal en Nicaragua para poder controlar las vías de entrada y salida para las exportaciones. En ese tiempo los países que controlaban nuevos territorios eran más poderosos y obtenían más lugares para expandirse. </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rtl w:val="0"/>
        </w:rPr>
        <w:tab/>
        <w:t xml:space="preserve">Países de América Central eran muy similares en cuanto a sus economías, gobiernos, y agricultura. Los países tenían gobiernos muy débiles, un ejemplo que nos da el libro es William Walker que llegó a Nicaragua y se postuló como presidente sin ninguna oposición del gobierno de Nicaragua. Esto nos deja saber que los gobiernos no estaban capacitados para controlar sus países ni mucho menos para proteger a sus ciudadanos. Varios países tenían “plantation societies” que eran desiguales, tenían falta de industrialización, solamente producían un producto y el producto siempre era exportado. “Plantation societies” estaban situados en países pequeños y débiles y había dos tipos de plantaciones; una llamada latifundio y la otra minifundio. Latifundios eran como haciendas o fincas, y minifundios eran más pequeños como agricultura de subsistencia. </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rtl w:val="0"/>
        </w:rPr>
        <w:tab/>
        <w:t xml:space="preserve">La guerrilla surgió de varios países como El Salvador y Nicaragua para obtener su libertad y dejar de ser oprimidos. Los campesinos no podrían hacerlo solos, por eso tuvieron la ayuda de personas con poder y que tuvieran influencias y facilidad económica. La guerrilla peleaba contra fuerzas más grandes para mejorar sus condiciones de economía, vida, y gobierno.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